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A6" w:rsidRPr="00EA46EB" w:rsidRDefault="00CE10A6" w:rsidP="005C2A05">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bookmarkStart w:id="0" w:name="_GoBack"/>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bookmarkEnd w:id="0"/>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F4197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5C2A05" w:rsidRDefault="005C2A05"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5C2A05" w:rsidRDefault="005C2A05"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5C2A05" w:rsidRDefault="005C2A05"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5C2A05" w:rsidRDefault="005C2A05"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5C2A05" w:rsidRDefault="005C2A05"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5C2A05" w:rsidRDefault="005C2A05" w:rsidP="00336967">
      <w:pPr>
        <w:jc w:val="center"/>
        <w:rPr>
          <w:rFonts w:ascii="Times New Roman" w:eastAsia="Times New Roman" w:hAnsi="Times New Roman" w:cs="Times New Roman"/>
          <w:kern w:val="36"/>
          <w:sz w:val="28"/>
          <w:szCs w:val="28"/>
          <w:lang w:eastAsia="ru-RU"/>
        </w:rPr>
      </w:pP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w:t>
      </w:r>
      <w:r>
        <w:rPr>
          <w:rFonts w:ascii="Times New Roman" w:hAnsi="Times New Roman"/>
          <w:sz w:val="28"/>
          <w:szCs w:val="28"/>
        </w:rPr>
        <w:lastRenderedPageBreak/>
        <w:t>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lastRenderedPageBreak/>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Ход игры: собака – лает, кусает, бежит, сторожит, скулит, </w:t>
      </w:r>
      <w:proofErr w:type="gramStart"/>
      <w:r w:rsidRPr="00546EAD">
        <w:rPr>
          <w:rFonts w:ascii="Times New Roman" w:hAnsi="Times New Roman" w:cs="Times New Roman"/>
          <w:sz w:val="28"/>
          <w:szCs w:val="28"/>
        </w:rPr>
        <w:t>воет;  кошка</w:t>
      </w:r>
      <w:proofErr w:type="gramEnd"/>
      <w:r w:rsidRPr="00546EAD">
        <w:rPr>
          <w:rFonts w:ascii="Times New Roman" w:hAnsi="Times New Roman" w:cs="Times New Roman"/>
          <w:sz w:val="28"/>
          <w:szCs w:val="28"/>
        </w:rPr>
        <w:t xml:space="preserve">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ка,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proofErr w:type="gramStart"/>
      <w:r w:rsidRPr="00DE4076">
        <w:rPr>
          <w:rFonts w:ascii="Times New Roman" w:hAnsi="Times New Roman" w:cs="Times New Roman"/>
          <w:sz w:val="28"/>
          <w:szCs w:val="28"/>
        </w:rPr>
        <w:t>Например</w:t>
      </w:r>
      <w:proofErr w:type="gramEnd"/>
      <w:r w:rsidRPr="00DE4076">
        <w:rPr>
          <w:rFonts w:ascii="Times New Roman" w:hAnsi="Times New Roman" w:cs="Times New Roman"/>
          <w:sz w:val="28"/>
          <w:szCs w:val="28"/>
        </w:rPr>
        <w:t>: Бабочка, первый звук [б].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w:t>
      </w:r>
      <w:r w:rsidRPr="00DE4076">
        <w:rPr>
          <w:rFonts w:ascii="Times New Roman" w:hAnsi="Times New Roman" w:cs="Times New Roman"/>
          <w:sz w:val="28"/>
          <w:szCs w:val="28"/>
        </w:rPr>
        <w:lastRenderedPageBreak/>
        <w:t>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 xml:space="preserve">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w:t>
      </w:r>
      <w:r w:rsidRPr="00DE4076">
        <w:rPr>
          <w:rFonts w:ascii="Times New Roman" w:hAnsi="Times New Roman" w:cs="Times New Roman"/>
          <w:sz w:val="28"/>
          <w:szCs w:val="28"/>
        </w:rPr>
        <w:lastRenderedPageBreak/>
        <w:t>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w:t>
      </w:r>
      <w:r w:rsidRPr="00DE4076">
        <w:rPr>
          <w:rFonts w:ascii="Times New Roman" w:hAnsi="Times New Roman" w:cs="Times New Roman"/>
          <w:sz w:val="28"/>
          <w:szCs w:val="28"/>
        </w:rPr>
        <w:lastRenderedPageBreak/>
        <w:t>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w:t>
      </w:r>
      <w:r w:rsidRPr="00D72BEF">
        <w:rPr>
          <w:rFonts w:ascii="Times New Roman" w:hAnsi="Times New Roman" w:cs="Times New Roman"/>
          <w:sz w:val="28"/>
          <w:szCs w:val="28"/>
        </w:rPr>
        <w:lastRenderedPageBreak/>
        <w:t>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w:t>
      </w:r>
      <w:r w:rsidRPr="00D72BEF">
        <w:rPr>
          <w:rFonts w:ascii="Times New Roman" w:hAnsi="Times New Roman" w:cs="Times New Roman"/>
          <w:sz w:val="28"/>
          <w:szCs w:val="28"/>
        </w:rPr>
        <w:lastRenderedPageBreak/>
        <w:t>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49077C">
        <w:rPr>
          <w:rFonts w:ascii="Times New Roman" w:hAnsi="Times New Roman" w:cs="Times New Roman"/>
          <w:sz w:val="28"/>
          <w:szCs w:val="28"/>
        </w:rPr>
        <w:t xml:space="preserve"> </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2A05"/>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EC38"/>
  <w15:docId w15:val="{90EB7F98-1CEC-4C14-B855-EB4A7432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42</Pages>
  <Words>8835</Words>
  <Characters>50361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11</cp:revision>
  <dcterms:created xsi:type="dcterms:W3CDTF">2020-04-10T06:43:00Z</dcterms:created>
  <dcterms:modified xsi:type="dcterms:W3CDTF">2024-08-02T05:56:00Z</dcterms:modified>
</cp:coreProperties>
</file>